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DF10A" w14:textId="77777777" w:rsidR="00CA7F10" w:rsidRDefault="00CA7F10">
      <w:r w:rsidRPr="00CA7F10">
        <w:rPr>
          <w:noProof/>
          <w:lang w:eastAsia="es-ES"/>
        </w:rPr>
        <w:drawing>
          <wp:inline distT="0" distB="0" distL="0" distR="0" wp14:anchorId="3D45D16E" wp14:editId="3A804FB0">
            <wp:extent cx="2628900" cy="727710"/>
            <wp:effectExtent l="0" t="0" r="0" b="0"/>
            <wp:docPr id="6" name="2 Imagen" descr="Ciudadanos | Burgos"/>
            <wp:cNvGraphicFramePr/>
            <a:graphic xmlns:a="http://schemas.openxmlformats.org/drawingml/2006/main">
              <a:graphicData uri="http://schemas.openxmlformats.org/drawingml/2006/picture">
                <pic:pic xmlns:pic="http://schemas.openxmlformats.org/drawingml/2006/picture">
                  <pic:nvPicPr>
                    <pic:cNvPr id="4" name="2 Imagen" descr="Ciudadanos | Burgo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727710"/>
                    </a:xfrm>
                    <a:prstGeom prst="rect">
                      <a:avLst/>
                    </a:prstGeom>
                    <a:noFill/>
                    <a:ln>
                      <a:noFill/>
                    </a:ln>
                  </pic:spPr>
                </pic:pic>
              </a:graphicData>
            </a:graphic>
          </wp:inline>
        </w:drawing>
      </w:r>
    </w:p>
    <w:p w14:paraId="5387F2A0" w14:textId="77777777" w:rsidR="00244151" w:rsidRPr="002A6A62" w:rsidRDefault="00244151"/>
    <w:p w14:paraId="2173D232" w14:textId="77777777" w:rsidR="006A6E23" w:rsidRPr="00483E64" w:rsidRDefault="006A6E23" w:rsidP="006A6E23">
      <w:pPr>
        <w:jc w:val="center"/>
        <w:rPr>
          <w:rFonts w:ascii="Arial" w:hAnsi="Arial" w:cs="Arial"/>
          <w:b/>
          <w:color w:val="FF6600"/>
          <w:sz w:val="36"/>
          <w:szCs w:val="36"/>
        </w:rPr>
      </w:pPr>
      <w:r w:rsidRPr="00483E64">
        <w:rPr>
          <w:rFonts w:ascii="Arial" w:hAnsi="Arial" w:cs="Arial"/>
          <w:b/>
          <w:color w:val="FF6600"/>
          <w:sz w:val="36"/>
          <w:szCs w:val="36"/>
        </w:rPr>
        <w:t>Rueda de Prensa</w:t>
      </w:r>
    </w:p>
    <w:p w14:paraId="3BFADBF7" w14:textId="107713F6" w:rsidR="00483E64" w:rsidRPr="00483E64" w:rsidRDefault="00483E64" w:rsidP="006A6E23">
      <w:pPr>
        <w:jc w:val="center"/>
        <w:rPr>
          <w:rFonts w:ascii="Arial" w:hAnsi="Arial" w:cs="Arial"/>
          <w:b/>
          <w:color w:val="FF5050"/>
          <w:sz w:val="36"/>
          <w:szCs w:val="36"/>
        </w:rPr>
      </w:pPr>
      <w:r w:rsidRPr="00483E64">
        <w:rPr>
          <w:rFonts w:ascii="Arial" w:hAnsi="Arial" w:cs="Arial"/>
          <w:b/>
          <w:color w:val="FF6600"/>
          <w:sz w:val="36"/>
          <w:szCs w:val="36"/>
        </w:rPr>
        <w:t>Servicio municipal de autobuses</w:t>
      </w:r>
    </w:p>
    <w:p w14:paraId="73539B7B" w14:textId="77777777" w:rsidR="006A6E23" w:rsidRPr="002A6A62" w:rsidRDefault="006A6E23" w:rsidP="002A6A62">
      <w:pPr>
        <w:spacing w:after="0" w:line="200" w:lineRule="atLeast"/>
      </w:pPr>
      <w:r w:rsidRPr="002A6A62">
        <w:rPr>
          <w:b/>
        </w:rPr>
        <w:t>Fecha:</w:t>
      </w:r>
      <w:r w:rsidRPr="002A6A62">
        <w:t xml:space="preserve"> 23 de noviembre de 2015.</w:t>
      </w:r>
    </w:p>
    <w:p w14:paraId="6980BD49" w14:textId="77777777" w:rsidR="006A6E23" w:rsidRPr="002A6A62" w:rsidRDefault="006A6E23" w:rsidP="002A6A62">
      <w:pPr>
        <w:spacing w:after="0" w:line="200" w:lineRule="atLeast"/>
        <w:jc w:val="both"/>
      </w:pPr>
      <w:r w:rsidRPr="002A6A62">
        <w:rPr>
          <w:b/>
        </w:rPr>
        <w:t>Hora:</w:t>
      </w:r>
      <w:r w:rsidRPr="002A6A62">
        <w:t xml:space="preserve"> 10:30h.</w:t>
      </w:r>
    </w:p>
    <w:p w14:paraId="0AEA8040" w14:textId="77777777" w:rsidR="006A6E23" w:rsidRPr="002A6A62" w:rsidRDefault="006A6E23" w:rsidP="002A6A62">
      <w:pPr>
        <w:spacing w:after="0" w:line="200" w:lineRule="atLeast"/>
        <w:jc w:val="both"/>
      </w:pPr>
      <w:r w:rsidRPr="002A6A62">
        <w:rPr>
          <w:b/>
        </w:rPr>
        <w:t>Lugar:</w:t>
      </w:r>
      <w:r w:rsidRPr="002A6A62">
        <w:t xml:space="preserve"> Sala de Prensa del Ayuntamiento de Burgos.</w:t>
      </w:r>
    </w:p>
    <w:p w14:paraId="53CE7DE7" w14:textId="603B07B0" w:rsidR="00483E64" w:rsidRPr="00483E64" w:rsidRDefault="00483E64" w:rsidP="00483E64">
      <w:pPr>
        <w:jc w:val="both"/>
        <w:rPr>
          <w:sz w:val="28"/>
          <w:szCs w:val="28"/>
        </w:rPr>
      </w:pPr>
      <w:r>
        <w:rPr>
          <w:b/>
        </w:rPr>
        <w:t>Interviniente:</w:t>
      </w:r>
      <w:r>
        <w:t xml:space="preserve"> Vicente Marañón</w:t>
      </w:r>
      <w:bookmarkStart w:id="0" w:name="_GoBack"/>
      <w:bookmarkEnd w:id="0"/>
    </w:p>
    <w:p w14:paraId="7407314D" w14:textId="33C0E76D" w:rsidR="00453D2B" w:rsidRPr="002A6A62" w:rsidRDefault="00483E64" w:rsidP="00483E64">
      <w:pPr>
        <w:jc w:val="both"/>
        <w:rPr>
          <w:b/>
        </w:rPr>
      </w:pPr>
      <w:r w:rsidRPr="00483E64">
        <w:rPr>
          <w:b/>
          <w:sz w:val="28"/>
          <w:szCs w:val="28"/>
        </w:rPr>
        <w:t>1. Introducción</w:t>
      </w:r>
    </w:p>
    <w:p w14:paraId="52FB3F46" w14:textId="77777777" w:rsidR="00453D2B" w:rsidRPr="002A6A62" w:rsidRDefault="002E724A" w:rsidP="002E724A">
      <w:pPr>
        <w:jc w:val="both"/>
      </w:pPr>
      <w:r w:rsidRPr="002A6A62">
        <w:t xml:space="preserve">El sistema de transporte urbano en autobús en la ciudad de Burgos ha mantenido una oferta crecientemente divergente con respecto a la demanda que pretende atender.  Siendo el transporte público una herramienta fundamental para vertebrar la ciudad, facilitar la movilidad a las personas </w:t>
      </w:r>
      <w:r w:rsidR="00244151">
        <w:t xml:space="preserve">(especialmente las </w:t>
      </w:r>
      <w:r w:rsidRPr="002A6A62">
        <w:t>más desfavorecidas</w:t>
      </w:r>
      <w:r w:rsidR="00244151">
        <w:t>)</w:t>
      </w:r>
      <w:r w:rsidRPr="002A6A62">
        <w:t xml:space="preserve"> y contribuir a reducir las emisiones en Ciudadanos consideramos que se deben poner en marcha acciones inmediatas.</w:t>
      </w:r>
    </w:p>
    <w:p w14:paraId="0BB73447" w14:textId="77777777" w:rsidR="00453D2B" w:rsidRPr="00483E64" w:rsidRDefault="002E724A" w:rsidP="002E724A">
      <w:pPr>
        <w:jc w:val="both"/>
        <w:rPr>
          <w:b/>
          <w:sz w:val="28"/>
          <w:szCs w:val="28"/>
        </w:rPr>
      </w:pPr>
      <w:r w:rsidRPr="00483E64">
        <w:rPr>
          <w:b/>
          <w:sz w:val="28"/>
          <w:szCs w:val="28"/>
        </w:rPr>
        <w:t xml:space="preserve">2. </w:t>
      </w:r>
      <w:r w:rsidR="00453D2B" w:rsidRPr="00483E64">
        <w:rPr>
          <w:b/>
          <w:sz w:val="28"/>
          <w:szCs w:val="28"/>
        </w:rPr>
        <w:t>Hechos.</w:t>
      </w:r>
    </w:p>
    <w:p w14:paraId="0E5D4516" w14:textId="77777777" w:rsidR="009A11B1" w:rsidRPr="00244151" w:rsidRDefault="009A11B1" w:rsidP="00244151">
      <w:pPr>
        <w:pStyle w:val="Prrafodelista"/>
        <w:numPr>
          <w:ilvl w:val="0"/>
          <w:numId w:val="4"/>
        </w:numPr>
        <w:jc w:val="both"/>
        <w:rPr>
          <w:rFonts w:cs="Times New Roman"/>
        </w:rPr>
      </w:pPr>
      <w:r w:rsidRPr="00244151">
        <w:rPr>
          <w:rFonts w:cs="Times New Roman"/>
        </w:rPr>
        <w:t xml:space="preserve">Caída prolongada y </w:t>
      </w:r>
      <w:r w:rsidR="00244151">
        <w:rPr>
          <w:rFonts w:cs="Times New Roman"/>
        </w:rPr>
        <w:t>estructural</w:t>
      </w:r>
      <w:r w:rsidRPr="00244151">
        <w:rPr>
          <w:rFonts w:cs="Times New Roman"/>
        </w:rPr>
        <w:t xml:space="preserve"> del tráfico.</w:t>
      </w:r>
    </w:p>
    <w:p w14:paraId="2B3026CC" w14:textId="77777777" w:rsidR="009A11B1" w:rsidRPr="00244151" w:rsidRDefault="009A11B1" w:rsidP="00244151">
      <w:pPr>
        <w:pStyle w:val="Prrafodelista"/>
        <w:numPr>
          <w:ilvl w:val="0"/>
          <w:numId w:val="4"/>
        </w:numPr>
        <w:jc w:val="both"/>
        <w:rPr>
          <w:rFonts w:cs="Times New Roman"/>
        </w:rPr>
      </w:pPr>
      <w:r w:rsidRPr="00244151">
        <w:rPr>
          <w:rFonts w:cs="Times New Roman"/>
        </w:rPr>
        <w:t>Tasa de ocupación extremadamente baja.</w:t>
      </w:r>
    </w:p>
    <w:p w14:paraId="714D36B9" w14:textId="77777777" w:rsidR="000520BF" w:rsidRPr="00244151" w:rsidRDefault="000520BF" w:rsidP="00244151">
      <w:pPr>
        <w:pStyle w:val="Prrafodelista"/>
        <w:numPr>
          <w:ilvl w:val="0"/>
          <w:numId w:val="4"/>
        </w:numPr>
        <w:jc w:val="both"/>
        <w:rPr>
          <w:rFonts w:cs="Times New Roman"/>
        </w:rPr>
      </w:pPr>
      <w:r w:rsidRPr="00244151">
        <w:rPr>
          <w:rFonts w:cs="Times New Roman"/>
        </w:rPr>
        <w:t>Incremento absurdo de la oferta a pesar de la contracción de la demanda.</w:t>
      </w:r>
    </w:p>
    <w:p w14:paraId="3A395683" w14:textId="77777777" w:rsidR="002E724A" w:rsidRPr="00244151" w:rsidRDefault="002E724A" w:rsidP="00244151">
      <w:pPr>
        <w:pStyle w:val="Prrafodelista"/>
        <w:numPr>
          <w:ilvl w:val="0"/>
          <w:numId w:val="4"/>
        </w:numPr>
        <w:jc w:val="both"/>
        <w:rPr>
          <w:rFonts w:cs="Times New Roman"/>
        </w:rPr>
      </w:pPr>
      <w:r w:rsidRPr="00244151">
        <w:rPr>
          <w:rFonts w:cs="Times New Roman"/>
        </w:rPr>
        <w:t>Líneas solapadas.</w:t>
      </w:r>
    </w:p>
    <w:p w14:paraId="44B8AA71" w14:textId="77777777" w:rsidR="002E724A" w:rsidRPr="00244151" w:rsidRDefault="002E724A" w:rsidP="00244151">
      <w:pPr>
        <w:pStyle w:val="Prrafodelista"/>
        <w:numPr>
          <w:ilvl w:val="0"/>
          <w:numId w:val="4"/>
        </w:numPr>
        <w:jc w:val="both"/>
        <w:rPr>
          <w:rFonts w:cs="Times New Roman"/>
        </w:rPr>
      </w:pPr>
      <w:r w:rsidRPr="00244151">
        <w:rPr>
          <w:rFonts w:cs="Times New Roman"/>
        </w:rPr>
        <w:t>Autobuses al límite de su vida operativa.</w:t>
      </w:r>
    </w:p>
    <w:p w14:paraId="7B6F9C7F" w14:textId="77777777" w:rsidR="002E724A" w:rsidRPr="00244151" w:rsidRDefault="00244151" w:rsidP="00244151">
      <w:pPr>
        <w:pStyle w:val="Prrafodelista"/>
        <w:numPr>
          <w:ilvl w:val="0"/>
          <w:numId w:val="4"/>
        </w:numPr>
        <w:jc w:val="both"/>
        <w:rPr>
          <w:rFonts w:cs="Times New Roman"/>
        </w:rPr>
      </w:pPr>
      <w:r>
        <w:rPr>
          <w:rFonts w:cs="Times New Roman"/>
        </w:rPr>
        <w:t>Vehículos</w:t>
      </w:r>
      <w:r w:rsidR="002E724A" w:rsidRPr="00244151">
        <w:rPr>
          <w:rFonts w:cs="Times New Roman"/>
        </w:rPr>
        <w:t xml:space="preserve"> demasiado grandes.</w:t>
      </w:r>
    </w:p>
    <w:p w14:paraId="03D3A01D" w14:textId="77777777" w:rsidR="002E724A" w:rsidRPr="00244151" w:rsidRDefault="002E724A" w:rsidP="00244151">
      <w:pPr>
        <w:pStyle w:val="Prrafodelista"/>
        <w:numPr>
          <w:ilvl w:val="0"/>
          <w:numId w:val="4"/>
        </w:numPr>
        <w:jc w:val="both"/>
        <w:rPr>
          <w:rFonts w:cs="Times New Roman"/>
        </w:rPr>
      </w:pPr>
      <w:r w:rsidRPr="00244151">
        <w:rPr>
          <w:rFonts w:cs="Times New Roman"/>
        </w:rPr>
        <w:t>Frecuencias insuficientes y</w:t>
      </w:r>
      <w:r w:rsidR="00244151">
        <w:rPr>
          <w:rFonts w:cs="Times New Roman"/>
        </w:rPr>
        <w:t>/o</w:t>
      </w:r>
      <w:r w:rsidRPr="00244151">
        <w:rPr>
          <w:rFonts w:cs="Times New Roman"/>
        </w:rPr>
        <w:t xml:space="preserve"> mal programadas</w:t>
      </w:r>
      <w:r w:rsidR="00244151">
        <w:rPr>
          <w:rFonts w:cs="Times New Roman"/>
        </w:rPr>
        <w:t>.</w:t>
      </w:r>
    </w:p>
    <w:p w14:paraId="68B22245" w14:textId="77777777" w:rsidR="002E724A" w:rsidRPr="00244151" w:rsidRDefault="002E724A" w:rsidP="00244151">
      <w:pPr>
        <w:pStyle w:val="Prrafodelista"/>
        <w:numPr>
          <w:ilvl w:val="0"/>
          <w:numId w:val="4"/>
        </w:numPr>
        <w:jc w:val="both"/>
        <w:rPr>
          <w:rFonts w:cs="Times New Roman"/>
        </w:rPr>
      </w:pPr>
      <w:r w:rsidRPr="00244151">
        <w:rPr>
          <w:rFonts w:cs="Times New Roman"/>
        </w:rPr>
        <w:t>Anacronismo del modelo de “servicio”.</w:t>
      </w:r>
    </w:p>
    <w:p w14:paraId="14D99194" w14:textId="77777777" w:rsidR="002E724A" w:rsidRDefault="002E724A" w:rsidP="00244151">
      <w:pPr>
        <w:pStyle w:val="Prrafodelista"/>
        <w:numPr>
          <w:ilvl w:val="0"/>
          <w:numId w:val="4"/>
        </w:numPr>
        <w:jc w:val="both"/>
        <w:rPr>
          <w:rFonts w:cs="Times New Roman"/>
        </w:rPr>
      </w:pPr>
      <w:r w:rsidRPr="00244151">
        <w:rPr>
          <w:rFonts w:cs="Times New Roman"/>
        </w:rPr>
        <w:t xml:space="preserve">Calidad </w:t>
      </w:r>
      <w:r w:rsidR="000520BF" w:rsidRPr="00244151">
        <w:rPr>
          <w:rFonts w:cs="Times New Roman"/>
        </w:rPr>
        <w:t xml:space="preserve">mediocre </w:t>
      </w:r>
      <w:r w:rsidR="00244151">
        <w:rPr>
          <w:rFonts w:cs="Times New Roman"/>
        </w:rPr>
        <w:t xml:space="preserve">de las paradas: Abiertas, </w:t>
      </w:r>
      <w:r w:rsidRPr="00244151">
        <w:rPr>
          <w:rFonts w:cs="Times New Roman"/>
        </w:rPr>
        <w:t>inhóspitas</w:t>
      </w:r>
      <w:r w:rsidR="00244151">
        <w:rPr>
          <w:rFonts w:cs="Times New Roman"/>
        </w:rPr>
        <w:t xml:space="preserve"> y sin acceso al autobús desde la acera</w:t>
      </w:r>
      <w:r w:rsidRPr="00244151">
        <w:rPr>
          <w:rFonts w:cs="Times New Roman"/>
        </w:rPr>
        <w:t>.</w:t>
      </w:r>
    </w:p>
    <w:p w14:paraId="79B28C71" w14:textId="77777777" w:rsidR="00446045" w:rsidRPr="00244151" w:rsidRDefault="00446045" w:rsidP="00244151">
      <w:pPr>
        <w:pStyle w:val="Prrafodelista"/>
        <w:numPr>
          <w:ilvl w:val="0"/>
          <w:numId w:val="4"/>
        </w:numPr>
        <w:jc w:val="both"/>
        <w:rPr>
          <w:rFonts w:cs="Times New Roman"/>
        </w:rPr>
      </w:pPr>
      <w:r>
        <w:rPr>
          <w:rFonts w:cs="Times New Roman"/>
        </w:rPr>
        <w:t>Explotación mediocre de las plataformas publicitarias.</w:t>
      </w:r>
    </w:p>
    <w:p w14:paraId="51C2B54C" w14:textId="77777777" w:rsidR="002E724A" w:rsidRPr="00244151" w:rsidRDefault="002E724A" w:rsidP="00244151">
      <w:pPr>
        <w:pStyle w:val="Prrafodelista"/>
        <w:numPr>
          <w:ilvl w:val="0"/>
          <w:numId w:val="4"/>
        </w:numPr>
        <w:jc w:val="both"/>
        <w:rPr>
          <w:rFonts w:cs="Times New Roman"/>
        </w:rPr>
      </w:pPr>
      <w:r w:rsidRPr="00244151">
        <w:rPr>
          <w:rFonts w:cs="Times New Roman"/>
        </w:rPr>
        <w:t>Ausencia/desconocimiento de un plan económico financiero que haga viable el servicio.</w:t>
      </w:r>
    </w:p>
    <w:p w14:paraId="35B21454" w14:textId="77777777" w:rsidR="002E724A" w:rsidRPr="00244151" w:rsidRDefault="002E724A" w:rsidP="00244151">
      <w:pPr>
        <w:pStyle w:val="Prrafodelista"/>
        <w:numPr>
          <w:ilvl w:val="0"/>
          <w:numId w:val="4"/>
        </w:numPr>
        <w:jc w:val="both"/>
        <w:rPr>
          <w:rFonts w:cs="Times New Roman"/>
        </w:rPr>
      </w:pPr>
      <w:r w:rsidRPr="00244151">
        <w:rPr>
          <w:rFonts w:cs="Times New Roman"/>
        </w:rPr>
        <w:t xml:space="preserve">Ausencia de criterio para optar entre compra vs. </w:t>
      </w:r>
      <w:r w:rsidRPr="00244151">
        <w:rPr>
          <w:rFonts w:cs="Times New Roman"/>
          <w:i/>
        </w:rPr>
        <w:t>leasing/</w:t>
      </w:r>
      <w:proofErr w:type="spellStart"/>
      <w:r w:rsidRPr="00244151">
        <w:rPr>
          <w:rFonts w:cs="Times New Roman"/>
          <w:i/>
        </w:rPr>
        <w:t>renting</w:t>
      </w:r>
      <w:proofErr w:type="spellEnd"/>
      <w:r w:rsidRPr="00244151">
        <w:rPr>
          <w:rFonts w:cs="Times New Roman"/>
        </w:rPr>
        <w:t>.</w:t>
      </w:r>
    </w:p>
    <w:p w14:paraId="0BC2ADB1" w14:textId="77777777" w:rsidR="002E724A" w:rsidRPr="00244151" w:rsidRDefault="002E724A" w:rsidP="00244151">
      <w:pPr>
        <w:pStyle w:val="Prrafodelista"/>
        <w:numPr>
          <w:ilvl w:val="0"/>
          <w:numId w:val="4"/>
        </w:numPr>
        <w:jc w:val="both"/>
        <w:rPr>
          <w:rFonts w:cs="Times New Roman"/>
        </w:rPr>
      </w:pPr>
      <w:r w:rsidRPr="00244151">
        <w:rPr>
          <w:rFonts w:cs="Times New Roman"/>
        </w:rPr>
        <w:t>Ausencia de monitorización de la calidad del servicio percibida.</w:t>
      </w:r>
    </w:p>
    <w:p w14:paraId="468E043E" w14:textId="77777777" w:rsidR="002E724A" w:rsidRPr="00244151" w:rsidRDefault="002E724A" w:rsidP="00244151">
      <w:pPr>
        <w:pStyle w:val="Prrafodelista"/>
        <w:numPr>
          <w:ilvl w:val="0"/>
          <w:numId w:val="4"/>
        </w:numPr>
        <w:jc w:val="both"/>
        <w:rPr>
          <w:rFonts w:cs="Times New Roman"/>
        </w:rPr>
      </w:pPr>
      <w:r w:rsidRPr="00244151">
        <w:rPr>
          <w:rFonts w:cs="Times New Roman"/>
        </w:rPr>
        <w:t>Ausencia de mecanismos que adapten proactiva y reactivamente el servicio a la evolución de la demanda.</w:t>
      </w:r>
    </w:p>
    <w:p w14:paraId="5145870E" w14:textId="77777777" w:rsidR="00CA7F10" w:rsidRDefault="00CA7F10" w:rsidP="002E724A">
      <w:pPr>
        <w:jc w:val="both"/>
        <w:rPr>
          <w:rFonts w:cs="Times New Roman"/>
        </w:rPr>
      </w:pPr>
    </w:p>
    <w:p w14:paraId="279EFACB" w14:textId="77777777" w:rsidR="00212844" w:rsidRDefault="00212844" w:rsidP="002E724A">
      <w:pPr>
        <w:jc w:val="both"/>
        <w:rPr>
          <w:rFonts w:cs="Times New Roman"/>
        </w:rPr>
      </w:pPr>
    </w:p>
    <w:p w14:paraId="4729D7E6" w14:textId="1A6BB490" w:rsidR="00212844" w:rsidRPr="002A6A62" w:rsidRDefault="00212844" w:rsidP="002E724A">
      <w:pPr>
        <w:jc w:val="both"/>
        <w:rPr>
          <w:rFonts w:cs="Times New Roman"/>
        </w:rPr>
      </w:pPr>
      <w:r w:rsidRPr="00CA7F10">
        <w:rPr>
          <w:noProof/>
          <w:lang w:eastAsia="es-ES"/>
        </w:rPr>
        <w:lastRenderedPageBreak/>
        <w:drawing>
          <wp:inline distT="0" distB="0" distL="0" distR="0" wp14:anchorId="2B690D13" wp14:editId="78276572">
            <wp:extent cx="2628900" cy="727710"/>
            <wp:effectExtent l="0" t="0" r="0" b="0"/>
            <wp:docPr id="2" name="2 Imagen" descr="Ciudadanos | Burgos"/>
            <wp:cNvGraphicFramePr/>
            <a:graphic xmlns:a="http://schemas.openxmlformats.org/drawingml/2006/main">
              <a:graphicData uri="http://schemas.openxmlformats.org/drawingml/2006/picture">
                <pic:pic xmlns:pic="http://schemas.openxmlformats.org/drawingml/2006/picture">
                  <pic:nvPicPr>
                    <pic:cNvPr id="4" name="2 Imagen" descr="Ciudadanos | Burgo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727710"/>
                    </a:xfrm>
                    <a:prstGeom prst="rect">
                      <a:avLst/>
                    </a:prstGeom>
                    <a:noFill/>
                    <a:ln>
                      <a:noFill/>
                    </a:ln>
                  </pic:spPr>
                </pic:pic>
              </a:graphicData>
            </a:graphic>
          </wp:inline>
        </w:drawing>
      </w:r>
    </w:p>
    <w:p w14:paraId="735AF754" w14:textId="77777777" w:rsidR="00CA7F10" w:rsidRPr="002A6A62" w:rsidRDefault="00CA7F10" w:rsidP="002272B8">
      <w:pPr>
        <w:rPr>
          <w:rFonts w:cs="Times New Roman"/>
        </w:rPr>
      </w:pPr>
      <w:r w:rsidRPr="002A6A62">
        <w:rPr>
          <w:rFonts w:cs="Times New Roman"/>
          <w:noProof/>
          <w:lang w:eastAsia="es-ES"/>
        </w:rPr>
        <w:drawing>
          <wp:inline distT="0" distB="0" distL="0" distR="0" wp14:anchorId="677DEDE6" wp14:editId="651C7E06">
            <wp:extent cx="2549769" cy="192551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992376">
        <w:rPr>
          <w:noProof/>
          <w:lang w:eastAsia="es-ES"/>
        </w:rPr>
        <w:drawing>
          <wp:inline distT="0" distB="0" distL="0" distR="0" wp14:anchorId="111B947C" wp14:editId="6A1C0687">
            <wp:extent cx="2744470" cy="1930498"/>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CF4A27" w14:textId="77777777" w:rsidR="002E724A" w:rsidRPr="002A6A62" w:rsidRDefault="002E724A" w:rsidP="002E724A">
      <w:pPr>
        <w:jc w:val="both"/>
      </w:pPr>
    </w:p>
    <w:p w14:paraId="425C7EBA" w14:textId="77777777" w:rsidR="002E724A" w:rsidRDefault="002E724A" w:rsidP="00244151">
      <w:r w:rsidRPr="002A6A62">
        <w:rPr>
          <w:noProof/>
          <w:lang w:eastAsia="es-ES"/>
        </w:rPr>
        <w:drawing>
          <wp:inline distT="0" distB="0" distL="0" distR="0" wp14:anchorId="50334CB2" wp14:editId="5B1238D5">
            <wp:extent cx="2637692" cy="2092569"/>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272B8" w:rsidRPr="002A6A62">
        <w:rPr>
          <w:noProof/>
          <w:lang w:eastAsia="es-ES"/>
        </w:rPr>
        <w:drawing>
          <wp:inline distT="0" distB="0" distL="0" distR="0" wp14:anchorId="651B19FE" wp14:editId="5BC12493">
            <wp:extent cx="2725616" cy="2127738"/>
            <wp:effectExtent l="0" t="0" r="0"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768720" w14:textId="77777777" w:rsidR="00244151" w:rsidRPr="00244151" w:rsidRDefault="00244151" w:rsidP="00244151">
      <w:pPr>
        <w:rPr>
          <w:i/>
          <w:sz w:val="16"/>
          <w:szCs w:val="16"/>
        </w:rPr>
      </w:pPr>
      <w:r w:rsidRPr="00244151">
        <w:rPr>
          <w:i/>
          <w:sz w:val="16"/>
          <w:szCs w:val="16"/>
        </w:rPr>
        <w:t>Fuente: Servicio Municipalizado de Movilidad y Transportes.</w:t>
      </w:r>
    </w:p>
    <w:p w14:paraId="6B2AC37E" w14:textId="77777777" w:rsidR="00244151" w:rsidRDefault="00244151" w:rsidP="002E724A">
      <w:pPr>
        <w:jc w:val="both"/>
        <w:rPr>
          <w:b/>
        </w:rPr>
      </w:pPr>
    </w:p>
    <w:p w14:paraId="629AB620" w14:textId="77777777" w:rsidR="00453D2B" w:rsidRPr="00483E64" w:rsidRDefault="002E724A" w:rsidP="002E724A">
      <w:pPr>
        <w:jc w:val="both"/>
        <w:rPr>
          <w:b/>
          <w:sz w:val="28"/>
          <w:szCs w:val="28"/>
        </w:rPr>
      </w:pPr>
      <w:r w:rsidRPr="00483E64">
        <w:rPr>
          <w:b/>
          <w:sz w:val="28"/>
          <w:szCs w:val="28"/>
        </w:rPr>
        <w:t xml:space="preserve">3. </w:t>
      </w:r>
      <w:r w:rsidR="00453D2B" w:rsidRPr="00483E64">
        <w:rPr>
          <w:b/>
          <w:sz w:val="28"/>
          <w:szCs w:val="28"/>
        </w:rPr>
        <w:t>Propuestas.</w:t>
      </w:r>
    </w:p>
    <w:p w14:paraId="6449E57B" w14:textId="77777777" w:rsidR="00244151" w:rsidRPr="00244151" w:rsidRDefault="00244151" w:rsidP="002272B8">
      <w:pPr>
        <w:jc w:val="both"/>
        <w:rPr>
          <w:rFonts w:cs="Times New Roman"/>
        </w:rPr>
      </w:pPr>
      <w:r w:rsidRPr="00244151">
        <w:rPr>
          <w:rFonts w:cs="Times New Roman"/>
        </w:rPr>
        <w:t>La prioridad absoluta es dotar a la ciudad de un Plan de Movilidad.  Sin embargo, asumiendo que esta herramienta puede tardar en ser una realidad</w:t>
      </w:r>
      <w:r>
        <w:rPr>
          <w:rFonts w:cs="Times New Roman"/>
        </w:rPr>
        <w:t>,</w:t>
      </w:r>
      <w:r w:rsidRPr="00244151">
        <w:rPr>
          <w:rFonts w:cs="Times New Roman"/>
        </w:rPr>
        <w:t xml:space="preserve"> proponemos no demorar más la adopción de medi</w:t>
      </w:r>
      <w:r>
        <w:rPr>
          <w:rFonts w:cs="Times New Roman"/>
        </w:rPr>
        <w:t>d</w:t>
      </w:r>
      <w:r w:rsidRPr="00244151">
        <w:rPr>
          <w:rFonts w:cs="Times New Roman"/>
        </w:rPr>
        <w:t>as concretas.</w:t>
      </w:r>
    </w:p>
    <w:p w14:paraId="01F58331" w14:textId="77777777" w:rsidR="002272B8" w:rsidRPr="002A6A62" w:rsidRDefault="002272B8" w:rsidP="00483E64">
      <w:pPr>
        <w:ind w:firstLine="708"/>
        <w:jc w:val="both"/>
        <w:rPr>
          <w:rFonts w:cs="Times New Roman"/>
          <w:b/>
        </w:rPr>
      </w:pPr>
      <w:r w:rsidRPr="002A6A62">
        <w:rPr>
          <w:rFonts w:cs="Times New Roman"/>
          <w:b/>
        </w:rPr>
        <w:t>Propuesta 1.</w:t>
      </w:r>
    </w:p>
    <w:p w14:paraId="42B6AAAB" w14:textId="77777777" w:rsidR="002272B8" w:rsidRPr="002A6A62" w:rsidRDefault="002272B8" w:rsidP="002272B8">
      <w:pPr>
        <w:jc w:val="both"/>
        <w:rPr>
          <w:rFonts w:cs="Times New Roman"/>
        </w:rPr>
      </w:pPr>
      <w:r w:rsidRPr="002A6A62">
        <w:rPr>
          <w:rFonts w:cs="Times New Roman"/>
        </w:rPr>
        <w:t>Adaptar (no solo modernizar) la flota a la demanda real y previsible.  Establecer un catálogo de necesidades, tanto cuantitativa como cualitativamente.  La flota de autobuses deberá experimentar cambios sustanci</w:t>
      </w:r>
      <w:r w:rsidR="002A6A62" w:rsidRPr="002A6A62">
        <w:rPr>
          <w:rFonts w:cs="Times New Roman"/>
        </w:rPr>
        <w:t>ales en los siguientes aspectos: Número de unidades, tamaño y calidad.</w:t>
      </w:r>
    </w:p>
    <w:p w14:paraId="30FAAC64" w14:textId="77777777" w:rsidR="00212844" w:rsidRDefault="00212844" w:rsidP="002272B8">
      <w:pPr>
        <w:jc w:val="both"/>
        <w:rPr>
          <w:rFonts w:cs="Times New Roman"/>
          <w:b/>
        </w:rPr>
      </w:pPr>
    </w:p>
    <w:p w14:paraId="1BB43506" w14:textId="4B28E82B" w:rsidR="00212844" w:rsidRDefault="00212844" w:rsidP="002272B8">
      <w:pPr>
        <w:jc w:val="both"/>
        <w:rPr>
          <w:rFonts w:cs="Times New Roman"/>
          <w:b/>
        </w:rPr>
      </w:pPr>
      <w:r w:rsidRPr="00CA7F10">
        <w:rPr>
          <w:noProof/>
          <w:lang w:eastAsia="es-ES"/>
        </w:rPr>
        <w:lastRenderedPageBreak/>
        <w:drawing>
          <wp:inline distT="0" distB="0" distL="0" distR="0" wp14:anchorId="7B5F8F90" wp14:editId="1C136E44">
            <wp:extent cx="2628900" cy="727710"/>
            <wp:effectExtent l="0" t="0" r="0" b="0"/>
            <wp:docPr id="4" name="2 Imagen" descr="Ciudadanos | Burgos"/>
            <wp:cNvGraphicFramePr/>
            <a:graphic xmlns:a="http://schemas.openxmlformats.org/drawingml/2006/main">
              <a:graphicData uri="http://schemas.openxmlformats.org/drawingml/2006/picture">
                <pic:pic xmlns:pic="http://schemas.openxmlformats.org/drawingml/2006/picture">
                  <pic:nvPicPr>
                    <pic:cNvPr id="4" name="2 Imagen" descr="Ciudadanos | Burgo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727710"/>
                    </a:xfrm>
                    <a:prstGeom prst="rect">
                      <a:avLst/>
                    </a:prstGeom>
                    <a:noFill/>
                    <a:ln>
                      <a:noFill/>
                    </a:ln>
                  </pic:spPr>
                </pic:pic>
              </a:graphicData>
            </a:graphic>
          </wp:inline>
        </w:drawing>
      </w:r>
    </w:p>
    <w:p w14:paraId="6B62DF99" w14:textId="77777777" w:rsidR="00212844" w:rsidRDefault="00212844" w:rsidP="002272B8">
      <w:pPr>
        <w:jc w:val="both"/>
        <w:rPr>
          <w:rFonts w:cs="Times New Roman"/>
          <w:b/>
        </w:rPr>
      </w:pPr>
    </w:p>
    <w:p w14:paraId="74BE40FB" w14:textId="77777777" w:rsidR="002272B8" w:rsidRPr="002A6A62" w:rsidRDefault="002272B8" w:rsidP="00483E64">
      <w:pPr>
        <w:ind w:firstLine="708"/>
        <w:jc w:val="both"/>
        <w:rPr>
          <w:rFonts w:cs="Times New Roman"/>
          <w:b/>
        </w:rPr>
      </w:pPr>
      <w:r w:rsidRPr="002A6A62">
        <w:rPr>
          <w:rFonts w:cs="Times New Roman"/>
          <w:b/>
        </w:rPr>
        <w:t>Propuesta 2.</w:t>
      </w:r>
    </w:p>
    <w:p w14:paraId="41CFCC61" w14:textId="77777777" w:rsidR="002272B8" w:rsidRPr="002A6A62" w:rsidRDefault="002272B8" w:rsidP="002272B8">
      <w:pPr>
        <w:jc w:val="both"/>
        <w:rPr>
          <w:rFonts w:cs="Times New Roman"/>
        </w:rPr>
      </w:pPr>
      <w:r w:rsidRPr="002A6A62">
        <w:rPr>
          <w:rFonts w:cs="Times New Roman"/>
        </w:rPr>
        <w:t>Aumentar las frecuencias y reducir la capacidad de los vehículos.  Desarrollo de la propuesta anterior. Con los datos actuales e históricos es evidente que se necesitan acciones de carácter estructural para invertir el enorme desajuste actual entre oferta y demanda que está comprometiendo la viabilidad económica del propio servicio.</w:t>
      </w:r>
    </w:p>
    <w:p w14:paraId="5BE06DFE" w14:textId="77777777" w:rsidR="002272B8" w:rsidRPr="002A6A62" w:rsidRDefault="002272B8" w:rsidP="00483E64">
      <w:pPr>
        <w:ind w:firstLine="708"/>
        <w:jc w:val="both"/>
        <w:rPr>
          <w:rFonts w:cs="Times New Roman"/>
          <w:b/>
        </w:rPr>
      </w:pPr>
      <w:r w:rsidRPr="002A6A62">
        <w:rPr>
          <w:rFonts w:cs="Times New Roman"/>
          <w:b/>
        </w:rPr>
        <w:t>Propuesta 3.</w:t>
      </w:r>
    </w:p>
    <w:p w14:paraId="4BE8916C" w14:textId="77777777" w:rsidR="00AC0FA8" w:rsidRDefault="002272B8" w:rsidP="002272B8">
      <w:pPr>
        <w:jc w:val="both"/>
        <w:rPr>
          <w:rFonts w:cs="Times New Roman"/>
        </w:rPr>
      </w:pPr>
      <w:r w:rsidRPr="002A6A62">
        <w:rPr>
          <w:rFonts w:cs="Times New Roman"/>
        </w:rPr>
        <w:t xml:space="preserve">Establecer rutas y horarios flexibles.  El servicio se debe adaptar a la demanda, no a la inversa.  Este ejercicio debe asumirse tanto a lo largo del día, como según la época del año y la evolución interanual del tráfico.  La forma de implementar esta propuesta implica la asunción de que este servicio es un </w:t>
      </w:r>
      <w:r w:rsidRPr="002A6A62">
        <w:rPr>
          <w:rFonts w:cs="Times New Roman"/>
          <w:b/>
        </w:rPr>
        <w:t>monopolio</w:t>
      </w:r>
      <w:r w:rsidR="00244151">
        <w:rPr>
          <w:rFonts w:cs="Times New Roman"/>
        </w:rPr>
        <w:t xml:space="preserve"> y debería </w:t>
      </w:r>
      <w:r w:rsidR="00AC0FA8">
        <w:rPr>
          <w:rFonts w:cs="Times New Roman"/>
        </w:rPr>
        <w:t>suponer</w:t>
      </w:r>
      <w:r w:rsidR="00244151">
        <w:rPr>
          <w:rFonts w:cs="Times New Roman"/>
        </w:rPr>
        <w:t xml:space="preserve"> la monitorización del servicio y la adopción de las medidas correspondientes de forma ágil.</w:t>
      </w:r>
    </w:p>
    <w:p w14:paraId="341FC882" w14:textId="77777777" w:rsidR="002272B8" w:rsidRPr="00AC0FA8" w:rsidRDefault="002272B8" w:rsidP="00483E64">
      <w:pPr>
        <w:ind w:firstLine="708"/>
        <w:jc w:val="both"/>
        <w:rPr>
          <w:rFonts w:cs="Times New Roman"/>
        </w:rPr>
      </w:pPr>
      <w:r w:rsidRPr="002A6A62">
        <w:rPr>
          <w:rFonts w:cs="Times New Roman"/>
          <w:b/>
        </w:rPr>
        <w:t>Propuesta 4.</w:t>
      </w:r>
    </w:p>
    <w:p w14:paraId="425BE8C3" w14:textId="77777777" w:rsidR="002272B8" w:rsidRPr="002A6A62" w:rsidRDefault="002272B8" w:rsidP="002272B8">
      <w:pPr>
        <w:jc w:val="both"/>
        <w:rPr>
          <w:rFonts w:cs="Times New Roman"/>
        </w:rPr>
      </w:pPr>
      <w:r w:rsidRPr="002A6A62">
        <w:rPr>
          <w:rFonts w:cs="Times New Roman"/>
        </w:rPr>
        <w:t>Reformar el sistema de paradas.  Los autobuses no pueden convertirse en un obstáculo para las vías, como norma general deben construirse apartaderos para que cada parada no suponga la ralentización del resto del tráfico</w:t>
      </w:r>
      <w:r w:rsidR="00AC0FA8">
        <w:rPr>
          <w:rFonts w:cs="Times New Roman"/>
        </w:rPr>
        <w:t>.  Asimismo la maniobra sería</w:t>
      </w:r>
      <w:r w:rsidRPr="002A6A62">
        <w:rPr>
          <w:rFonts w:cs="Times New Roman"/>
        </w:rPr>
        <w:t xml:space="preserve"> más segura evitando que los pasajero</w:t>
      </w:r>
      <w:r w:rsidR="00AC0FA8">
        <w:rPr>
          <w:rFonts w:cs="Times New Roman"/>
        </w:rPr>
        <w:t>s tengan que invadir la calzada para subir y bajar del autobús.</w:t>
      </w:r>
    </w:p>
    <w:p w14:paraId="5AFD49E5" w14:textId="77777777" w:rsidR="002272B8" w:rsidRPr="002A6A62" w:rsidRDefault="002272B8" w:rsidP="00483E64">
      <w:pPr>
        <w:ind w:firstLine="708"/>
        <w:jc w:val="both"/>
        <w:rPr>
          <w:rFonts w:cs="Times New Roman"/>
          <w:b/>
        </w:rPr>
      </w:pPr>
      <w:r w:rsidRPr="002A6A62">
        <w:rPr>
          <w:rFonts w:cs="Times New Roman"/>
          <w:b/>
        </w:rPr>
        <w:t>Propuesta 5.</w:t>
      </w:r>
    </w:p>
    <w:p w14:paraId="4208B3DA" w14:textId="77777777" w:rsidR="002272B8" w:rsidRPr="002A6A62" w:rsidRDefault="002272B8" w:rsidP="002272B8">
      <w:pPr>
        <w:jc w:val="both"/>
        <w:rPr>
          <w:rFonts w:cs="Times New Roman"/>
        </w:rPr>
      </w:pPr>
      <w:r w:rsidRPr="002A6A62">
        <w:rPr>
          <w:rFonts w:cs="Times New Roman"/>
        </w:rPr>
        <w:t>Establecer un sistema integrado de transporte que conecte el alfoz con la ciudad.  Si bien los alrededores de la ciudad no albergan grandes núcleos de población no es menos evidente que sus habitantes participan de la vida económica y social de la capital.  Por ello</w:t>
      </w:r>
      <w:r w:rsidR="00AC0FA8">
        <w:rPr>
          <w:rFonts w:cs="Times New Roman"/>
        </w:rPr>
        <w:t>,</w:t>
      </w:r>
      <w:r w:rsidRPr="002A6A62">
        <w:rPr>
          <w:rFonts w:cs="Times New Roman"/>
        </w:rPr>
        <w:t xml:space="preserve"> la accesibilidad e integración son factores esenciales para v</w:t>
      </w:r>
      <w:r w:rsidR="00AC0FA8">
        <w:rPr>
          <w:rFonts w:cs="Times New Roman"/>
        </w:rPr>
        <w:t>ertebrar la unidad urbana que integran</w:t>
      </w:r>
      <w:r w:rsidRPr="002A6A62">
        <w:rPr>
          <w:rFonts w:cs="Times New Roman"/>
        </w:rPr>
        <w:t xml:space="preserve"> </w:t>
      </w:r>
      <w:r w:rsidR="00AC0FA8">
        <w:rPr>
          <w:rFonts w:cs="Times New Roman"/>
        </w:rPr>
        <w:t>B</w:t>
      </w:r>
      <w:r w:rsidRPr="002A6A62">
        <w:rPr>
          <w:rFonts w:cs="Times New Roman"/>
        </w:rPr>
        <w:t>urgos y su alfoz.  Establecer líneas de autobuses que conecten la periferia de la ciudad con la red urbana interna supone un paso decisivo en la vertebración de Burgos.</w:t>
      </w:r>
    </w:p>
    <w:p w14:paraId="62E88DFB" w14:textId="77777777" w:rsidR="002272B8" w:rsidRPr="002A6A62" w:rsidRDefault="002272B8" w:rsidP="00483E64">
      <w:pPr>
        <w:ind w:firstLine="708"/>
        <w:jc w:val="both"/>
        <w:rPr>
          <w:rFonts w:cs="Times New Roman"/>
          <w:b/>
        </w:rPr>
      </w:pPr>
      <w:r w:rsidRPr="002A6A62">
        <w:rPr>
          <w:rFonts w:cs="Times New Roman"/>
          <w:b/>
        </w:rPr>
        <w:t>Propuesta 6.</w:t>
      </w:r>
    </w:p>
    <w:p w14:paraId="0E9BC395" w14:textId="77777777" w:rsidR="002272B8" w:rsidRDefault="002272B8" w:rsidP="002272B8">
      <w:pPr>
        <w:jc w:val="both"/>
        <w:rPr>
          <w:rFonts w:cs="Times New Roman"/>
        </w:rPr>
      </w:pPr>
      <w:r w:rsidRPr="002A6A62">
        <w:rPr>
          <w:rFonts w:cs="Times New Roman"/>
        </w:rPr>
        <w:t xml:space="preserve">Reformular la política tarifaria y de abonos. Incluso una </w:t>
      </w:r>
      <w:r w:rsidR="00AC0FA8">
        <w:rPr>
          <w:rFonts w:cs="Times New Roman"/>
        </w:rPr>
        <w:t>“</w:t>
      </w:r>
      <w:r w:rsidRPr="002A6A62">
        <w:rPr>
          <w:rFonts w:cs="Times New Roman"/>
        </w:rPr>
        <w:t>tarifa 0</w:t>
      </w:r>
      <w:r w:rsidR="00AC0FA8">
        <w:rPr>
          <w:rFonts w:cs="Times New Roman"/>
        </w:rPr>
        <w:t>”</w:t>
      </w:r>
      <w:r w:rsidRPr="002A6A62">
        <w:rPr>
          <w:rFonts w:cs="Times New Roman"/>
        </w:rPr>
        <w:t xml:space="preserve"> sería poco atractiva si el servicio es deficiente.  Una vez que la calidad e idoneidad del servicio hayan mejorado sensiblemente sería necesario acometer una revisión de las tarifas ace</w:t>
      </w:r>
      <w:r w:rsidR="00AC0FA8">
        <w:rPr>
          <w:rFonts w:cs="Times New Roman"/>
        </w:rPr>
        <w:t>rcándolas a su coste real</w:t>
      </w:r>
      <w:r w:rsidRPr="002A6A62">
        <w:rPr>
          <w:rFonts w:cs="Times New Roman"/>
        </w:rPr>
        <w:t xml:space="preserve">.  Las medidas que atenúen el impacto de cualquier modificación tarifaria </w:t>
      </w:r>
      <w:r w:rsidR="00AC0FA8">
        <w:rPr>
          <w:rFonts w:cs="Times New Roman"/>
        </w:rPr>
        <w:t xml:space="preserve">sobre colectivos concretos </w:t>
      </w:r>
      <w:r w:rsidRPr="002A6A62">
        <w:rPr>
          <w:rFonts w:cs="Times New Roman"/>
        </w:rPr>
        <w:t>d</w:t>
      </w:r>
      <w:r w:rsidR="00AC0FA8">
        <w:rPr>
          <w:rFonts w:cs="Times New Roman"/>
        </w:rPr>
        <w:t xml:space="preserve">eberán ser consecuencia de ésta </w:t>
      </w:r>
      <w:r w:rsidR="00446045">
        <w:rPr>
          <w:rFonts w:cs="Times New Roman"/>
        </w:rPr>
        <w:t>estrategia tarifaria</w:t>
      </w:r>
      <w:r w:rsidR="00AC0FA8">
        <w:rPr>
          <w:rFonts w:cs="Times New Roman"/>
        </w:rPr>
        <w:t>.</w:t>
      </w:r>
    </w:p>
    <w:p w14:paraId="08AAE61A" w14:textId="77777777" w:rsidR="00446045" w:rsidRPr="00446045" w:rsidRDefault="00446045" w:rsidP="00483E64">
      <w:pPr>
        <w:ind w:firstLine="708"/>
        <w:jc w:val="both"/>
        <w:rPr>
          <w:rFonts w:cs="Times New Roman"/>
          <w:b/>
        </w:rPr>
      </w:pPr>
      <w:r w:rsidRPr="00446045">
        <w:rPr>
          <w:rFonts w:cs="Times New Roman"/>
          <w:b/>
        </w:rPr>
        <w:t>Propuesta 7.</w:t>
      </w:r>
    </w:p>
    <w:p w14:paraId="1F4A250D" w14:textId="62373D5E" w:rsidR="00446045" w:rsidRPr="002A6A62" w:rsidRDefault="00446045" w:rsidP="002272B8">
      <w:pPr>
        <w:jc w:val="both"/>
        <w:rPr>
          <w:rFonts w:cs="Times New Roman"/>
        </w:rPr>
      </w:pPr>
      <w:r>
        <w:rPr>
          <w:rFonts w:cs="Times New Roman"/>
        </w:rPr>
        <w:t xml:space="preserve">Reformular la aproximación a al flota de autobuses como </w:t>
      </w:r>
      <w:r w:rsidR="00212844">
        <w:rPr>
          <w:rFonts w:cs="Times New Roman"/>
        </w:rPr>
        <w:t>plataforma publicitaria y de co</w:t>
      </w:r>
      <w:r>
        <w:rPr>
          <w:rFonts w:cs="Times New Roman"/>
        </w:rPr>
        <w:t>municación.</w:t>
      </w:r>
    </w:p>
    <w:p w14:paraId="3079F05C" w14:textId="0B5140A1" w:rsidR="00212844" w:rsidRDefault="00212844" w:rsidP="002272B8">
      <w:pPr>
        <w:jc w:val="both"/>
        <w:rPr>
          <w:rFonts w:cs="Times New Roman"/>
          <w:b/>
        </w:rPr>
      </w:pPr>
      <w:r w:rsidRPr="00CA7F10">
        <w:rPr>
          <w:noProof/>
          <w:lang w:eastAsia="es-ES"/>
        </w:rPr>
        <w:lastRenderedPageBreak/>
        <w:drawing>
          <wp:inline distT="0" distB="0" distL="0" distR="0" wp14:anchorId="47292A84" wp14:editId="1150F57A">
            <wp:extent cx="2628900" cy="727710"/>
            <wp:effectExtent l="0" t="0" r="0" b="0"/>
            <wp:docPr id="8" name="2 Imagen" descr="Ciudadanos | Burgos"/>
            <wp:cNvGraphicFramePr/>
            <a:graphic xmlns:a="http://schemas.openxmlformats.org/drawingml/2006/main">
              <a:graphicData uri="http://schemas.openxmlformats.org/drawingml/2006/picture">
                <pic:pic xmlns:pic="http://schemas.openxmlformats.org/drawingml/2006/picture">
                  <pic:nvPicPr>
                    <pic:cNvPr id="4" name="2 Imagen" descr="Ciudadanos | Burgo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727710"/>
                    </a:xfrm>
                    <a:prstGeom prst="rect">
                      <a:avLst/>
                    </a:prstGeom>
                    <a:noFill/>
                    <a:ln>
                      <a:noFill/>
                    </a:ln>
                  </pic:spPr>
                </pic:pic>
              </a:graphicData>
            </a:graphic>
          </wp:inline>
        </w:drawing>
      </w:r>
    </w:p>
    <w:p w14:paraId="5106C21A" w14:textId="77777777" w:rsidR="00212844" w:rsidRDefault="00212844" w:rsidP="002272B8">
      <w:pPr>
        <w:jc w:val="both"/>
        <w:rPr>
          <w:rFonts w:cs="Times New Roman"/>
          <w:b/>
        </w:rPr>
      </w:pPr>
    </w:p>
    <w:p w14:paraId="7A7C20A3" w14:textId="77777777" w:rsidR="002272B8" w:rsidRPr="002A6A62" w:rsidRDefault="00446045" w:rsidP="00483E64">
      <w:pPr>
        <w:ind w:firstLine="708"/>
        <w:jc w:val="both"/>
        <w:rPr>
          <w:rFonts w:cs="Times New Roman"/>
          <w:b/>
        </w:rPr>
      </w:pPr>
      <w:r>
        <w:rPr>
          <w:rFonts w:cs="Times New Roman"/>
          <w:b/>
        </w:rPr>
        <w:t>Propuesta 8</w:t>
      </w:r>
      <w:r w:rsidR="002272B8" w:rsidRPr="002A6A62">
        <w:rPr>
          <w:rFonts w:cs="Times New Roman"/>
          <w:b/>
        </w:rPr>
        <w:t>.</w:t>
      </w:r>
    </w:p>
    <w:p w14:paraId="06FD00E8" w14:textId="77777777" w:rsidR="006F6199" w:rsidRDefault="002272B8" w:rsidP="002272B8">
      <w:pPr>
        <w:jc w:val="both"/>
        <w:rPr>
          <w:rFonts w:cs="Times New Roman"/>
        </w:rPr>
      </w:pPr>
      <w:r w:rsidRPr="002A6A62">
        <w:rPr>
          <w:rFonts w:cs="Times New Roman"/>
        </w:rPr>
        <w:t xml:space="preserve">Medir la calidad </w:t>
      </w:r>
      <w:r w:rsidR="006F6199">
        <w:rPr>
          <w:rFonts w:cs="Times New Roman"/>
        </w:rPr>
        <w:t xml:space="preserve">percibida por parte de los usuarios </w:t>
      </w:r>
      <w:r w:rsidRPr="002A6A62">
        <w:rPr>
          <w:rFonts w:cs="Times New Roman"/>
        </w:rPr>
        <w:t>de forma sistemática y periódica.</w:t>
      </w:r>
      <w:r w:rsidR="006F6199">
        <w:rPr>
          <w:rFonts w:cs="Times New Roman"/>
        </w:rPr>
        <w:t xml:space="preserve">  Conocer y analizar el perfil del usuario. </w:t>
      </w:r>
    </w:p>
    <w:p w14:paraId="33188924" w14:textId="77777777" w:rsidR="002272B8" w:rsidRPr="002A6A62" w:rsidRDefault="00446045" w:rsidP="00483E64">
      <w:pPr>
        <w:ind w:firstLine="708"/>
        <w:jc w:val="both"/>
        <w:rPr>
          <w:rFonts w:cs="Times New Roman"/>
          <w:b/>
        </w:rPr>
      </w:pPr>
      <w:r>
        <w:rPr>
          <w:rFonts w:cs="Times New Roman"/>
          <w:b/>
        </w:rPr>
        <w:t>Propuesta 9</w:t>
      </w:r>
      <w:r w:rsidR="002272B8" w:rsidRPr="002A6A62">
        <w:rPr>
          <w:rFonts w:cs="Times New Roman"/>
          <w:b/>
        </w:rPr>
        <w:t>.</w:t>
      </w:r>
    </w:p>
    <w:p w14:paraId="4F520125" w14:textId="77777777" w:rsidR="002272B8" w:rsidRPr="002A6A62" w:rsidRDefault="002272B8" w:rsidP="002272B8">
      <w:pPr>
        <w:jc w:val="both"/>
        <w:rPr>
          <w:rFonts w:cs="Times New Roman"/>
        </w:rPr>
      </w:pPr>
      <w:r w:rsidRPr="002A6A62">
        <w:rPr>
          <w:rFonts w:cs="Times New Roman"/>
        </w:rPr>
        <w:t>Ser</w:t>
      </w:r>
      <w:r w:rsidR="006F6199">
        <w:rPr>
          <w:rFonts w:cs="Times New Roman"/>
        </w:rPr>
        <w:t xml:space="preserve"> consecuente con la Propuesta 7 y adaptar el servicio a las conclusiones obtenidas.</w:t>
      </w:r>
    </w:p>
    <w:p w14:paraId="1802C4D5" w14:textId="77777777" w:rsidR="002272B8" w:rsidRPr="002A6A62" w:rsidRDefault="002272B8" w:rsidP="002E724A">
      <w:pPr>
        <w:jc w:val="both"/>
      </w:pPr>
    </w:p>
    <w:sectPr w:rsidR="002272B8" w:rsidRPr="002A6A62" w:rsidSect="00893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24EAF"/>
    <w:multiLevelType w:val="hybridMultilevel"/>
    <w:tmpl w:val="BC405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436722"/>
    <w:multiLevelType w:val="hybridMultilevel"/>
    <w:tmpl w:val="C6067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FC527F"/>
    <w:multiLevelType w:val="hybridMultilevel"/>
    <w:tmpl w:val="76BEB8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E27B4F"/>
    <w:multiLevelType w:val="hybridMultilevel"/>
    <w:tmpl w:val="D02A8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2B"/>
    <w:rsid w:val="000520BF"/>
    <w:rsid w:val="00212844"/>
    <w:rsid w:val="002272B8"/>
    <w:rsid w:val="00244151"/>
    <w:rsid w:val="002A6A62"/>
    <w:rsid w:val="002E724A"/>
    <w:rsid w:val="00446045"/>
    <w:rsid w:val="00453D2B"/>
    <w:rsid w:val="00483E64"/>
    <w:rsid w:val="004C3CC4"/>
    <w:rsid w:val="0062522A"/>
    <w:rsid w:val="006A6E23"/>
    <w:rsid w:val="006F6199"/>
    <w:rsid w:val="00893C8B"/>
    <w:rsid w:val="00992376"/>
    <w:rsid w:val="009A11B1"/>
    <w:rsid w:val="00A62F06"/>
    <w:rsid w:val="00AC0FA8"/>
    <w:rsid w:val="00C049FA"/>
    <w:rsid w:val="00CA7F1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2F89A"/>
  <w15:docId w15:val="{FD58A368-317A-4759-BBED-41D5AC8E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724A"/>
    <w:pPr>
      <w:ind w:left="720"/>
      <w:contextualSpacing/>
    </w:pPr>
  </w:style>
  <w:style w:type="paragraph" w:styleId="Textodeglobo">
    <w:name w:val="Balloon Text"/>
    <w:basedOn w:val="Normal"/>
    <w:link w:val="TextodegloboCar"/>
    <w:uiPriority w:val="99"/>
    <w:semiHidden/>
    <w:unhideWhenUsed/>
    <w:rsid w:val="002E7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vmaranon\AppData\Local\Microsoft\Windows\Temporary%20Internet%20Files\Content.IE5\2VE4239L\tasa%20de%20ocupacion_2011_12_13_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TOSHIBA:Ciudadanos:Gr&#225;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vmaranon\AppData\Local\Microsoft\Windows\Temporary%20Internet%20Files\Content.IE5\NG7AZ7K7\tasa%20de%20ocupacion_2011_12_13_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vmaranon\AppData\Local\Microsoft\Windows\Temporary%20Internet%20Files\Content.IE5\NG7AZ7K7\tasa%20de%20ocupacion_2011_12_13_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Pasajeros</a:t>
            </a:r>
          </a:p>
        </c:rich>
      </c:tx>
      <c:overlay val="0"/>
    </c:title>
    <c:autoTitleDeleted val="0"/>
    <c:plotArea>
      <c:layout/>
      <c:barChart>
        <c:barDir val="col"/>
        <c:grouping val="clustered"/>
        <c:varyColors val="0"/>
        <c:ser>
          <c:idx val="0"/>
          <c:order val="0"/>
          <c:tx>
            <c:strRef>
              <c:f>'2014'!$J$13</c:f>
              <c:strCache>
                <c:ptCount val="1"/>
                <c:pt idx="0">
                  <c:v>Pax</c:v>
                </c:pt>
              </c:strCache>
            </c:strRef>
          </c:tx>
          <c:invertIfNegative val="0"/>
          <c:cat>
            <c:numRef>
              <c:f>'2014'!$K$12:$N$12</c:f>
              <c:numCache>
                <c:formatCode>General</c:formatCode>
                <c:ptCount val="4"/>
                <c:pt idx="0">
                  <c:v>2011</c:v>
                </c:pt>
                <c:pt idx="1">
                  <c:v>2012</c:v>
                </c:pt>
                <c:pt idx="2">
                  <c:v>2013</c:v>
                </c:pt>
                <c:pt idx="3">
                  <c:v>2014</c:v>
                </c:pt>
              </c:numCache>
            </c:numRef>
          </c:cat>
          <c:val>
            <c:numRef>
              <c:f>'2014'!$K$13:$N$13</c:f>
              <c:numCache>
                <c:formatCode>General</c:formatCode>
                <c:ptCount val="4"/>
                <c:pt idx="0">
                  <c:v>13969</c:v>
                </c:pt>
                <c:pt idx="1">
                  <c:v>13378</c:v>
                </c:pt>
                <c:pt idx="2">
                  <c:v>12733</c:v>
                </c:pt>
                <c:pt idx="3">
                  <c:v>12469</c:v>
                </c:pt>
              </c:numCache>
            </c:numRef>
          </c:val>
        </c:ser>
        <c:dLbls>
          <c:showLegendKey val="0"/>
          <c:showVal val="0"/>
          <c:showCatName val="0"/>
          <c:showSerName val="0"/>
          <c:showPercent val="0"/>
          <c:showBubbleSize val="0"/>
        </c:dLbls>
        <c:gapWidth val="150"/>
        <c:axId val="-1494833232"/>
        <c:axId val="-1494830512"/>
      </c:barChart>
      <c:catAx>
        <c:axId val="-1494833232"/>
        <c:scaling>
          <c:orientation val="minMax"/>
        </c:scaling>
        <c:delete val="0"/>
        <c:axPos val="b"/>
        <c:numFmt formatCode="General" sourceLinked="1"/>
        <c:majorTickMark val="out"/>
        <c:minorTickMark val="none"/>
        <c:tickLblPos val="nextTo"/>
        <c:txPr>
          <a:bodyPr/>
          <a:lstStyle/>
          <a:p>
            <a:pPr>
              <a:defRPr sz="800"/>
            </a:pPr>
            <a:endParaRPr lang="es-ES"/>
          </a:p>
        </c:txPr>
        <c:crossAx val="-1494830512"/>
        <c:crosses val="autoZero"/>
        <c:auto val="1"/>
        <c:lblAlgn val="ctr"/>
        <c:lblOffset val="100"/>
        <c:noMultiLvlLbl val="0"/>
      </c:catAx>
      <c:valAx>
        <c:axId val="-1494830512"/>
        <c:scaling>
          <c:orientation val="minMax"/>
        </c:scaling>
        <c:delete val="0"/>
        <c:axPos val="l"/>
        <c:majorGridlines>
          <c:spPr>
            <a:ln>
              <a:prstDash val="sysDot"/>
            </a:ln>
          </c:spPr>
        </c:majorGridlines>
        <c:numFmt formatCode="General" sourceLinked="1"/>
        <c:majorTickMark val="out"/>
        <c:minorTickMark val="none"/>
        <c:tickLblPos val="nextTo"/>
        <c:txPr>
          <a:bodyPr/>
          <a:lstStyle/>
          <a:p>
            <a:pPr>
              <a:defRPr sz="700"/>
            </a:pPr>
            <a:endParaRPr lang="es-ES"/>
          </a:p>
        </c:txPr>
        <c:crossAx val="-149483323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pPr>
            <a:r>
              <a:rPr lang="es-ES" sz="900"/>
              <a:t>Tasa ocupación red autobuses urbanos %</a:t>
            </a:r>
          </a:p>
        </c:rich>
      </c:tx>
      <c:overlay val="0"/>
    </c:title>
    <c:autoTitleDeleted val="0"/>
    <c:plotArea>
      <c:layout/>
      <c:barChart>
        <c:barDir val="col"/>
        <c:grouping val="clustered"/>
        <c:varyColors val="0"/>
        <c:ser>
          <c:idx val="0"/>
          <c:order val="0"/>
          <c:tx>
            <c:strRef>
              <c:f>Hoja1!$Q$38</c:f>
              <c:strCache>
                <c:ptCount val="1"/>
                <c:pt idx="0">
                  <c:v>%</c:v>
                </c:pt>
              </c:strCache>
            </c:strRef>
          </c:tx>
          <c:invertIfNegative val="0"/>
          <c:cat>
            <c:numRef>
              <c:f>Hoja1!$R$37:$U$37</c:f>
              <c:numCache>
                <c:formatCode>General</c:formatCode>
                <c:ptCount val="4"/>
                <c:pt idx="0">
                  <c:v>2011</c:v>
                </c:pt>
                <c:pt idx="1">
                  <c:v>2012</c:v>
                </c:pt>
                <c:pt idx="2">
                  <c:v>2013</c:v>
                </c:pt>
                <c:pt idx="3">
                  <c:v>2014</c:v>
                </c:pt>
              </c:numCache>
            </c:numRef>
          </c:cat>
          <c:val>
            <c:numRef>
              <c:f>Hoja1!$R$38:$U$38</c:f>
              <c:numCache>
                <c:formatCode>General</c:formatCode>
                <c:ptCount val="4"/>
                <c:pt idx="0">
                  <c:v>26.09</c:v>
                </c:pt>
                <c:pt idx="1">
                  <c:v>25.23</c:v>
                </c:pt>
                <c:pt idx="2">
                  <c:v>23.89</c:v>
                </c:pt>
                <c:pt idx="3">
                  <c:v>23.96</c:v>
                </c:pt>
              </c:numCache>
            </c:numRef>
          </c:val>
        </c:ser>
        <c:dLbls>
          <c:showLegendKey val="0"/>
          <c:showVal val="0"/>
          <c:showCatName val="0"/>
          <c:showSerName val="0"/>
          <c:showPercent val="0"/>
          <c:showBubbleSize val="0"/>
        </c:dLbls>
        <c:gapWidth val="150"/>
        <c:axId val="-1694780048"/>
        <c:axId val="-1694789296"/>
      </c:barChart>
      <c:catAx>
        <c:axId val="-1694780048"/>
        <c:scaling>
          <c:orientation val="minMax"/>
        </c:scaling>
        <c:delete val="0"/>
        <c:axPos val="b"/>
        <c:numFmt formatCode="General" sourceLinked="1"/>
        <c:majorTickMark val="out"/>
        <c:minorTickMark val="none"/>
        <c:tickLblPos val="nextTo"/>
        <c:txPr>
          <a:bodyPr/>
          <a:lstStyle/>
          <a:p>
            <a:pPr>
              <a:defRPr sz="800"/>
            </a:pPr>
            <a:endParaRPr lang="es-ES"/>
          </a:p>
        </c:txPr>
        <c:crossAx val="-1694789296"/>
        <c:crosses val="autoZero"/>
        <c:auto val="1"/>
        <c:lblAlgn val="ctr"/>
        <c:lblOffset val="100"/>
        <c:noMultiLvlLbl val="0"/>
      </c:catAx>
      <c:valAx>
        <c:axId val="-1694789296"/>
        <c:scaling>
          <c:orientation val="minMax"/>
        </c:scaling>
        <c:delete val="0"/>
        <c:axPos val="l"/>
        <c:majorGridlines>
          <c:spPr>
            <a:ln>
              <a:prstDash val="sysDash"/>
            </a:ln>
          </c:spPr>
        </c:majorGridlines>
        <c:numFmt formatCode="General" sourceLinked="1"/>
        <c:majorTickMark val="out"/>
        <c:minorTickMark val="none"/>
        <c:tickLblPos val="nextTo"/>
        <c:txPr>
          <a:bodyPr/>
          <a:lstStyle/>
          <a:p>
            <a:pPr>
              <a:defRPr sz="800"/>
            </a:pPr>
            <a:endParaRPr lang="es-ES"/>
          </a:p>
        </c:txPr>
        <c:crossAx val="-1694780048"/>
        <c:crosses val="autoZero"/>
        <c:crossBetween val="between"/>
        <c:majorUnit val="1"/>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 sz="900"/>
              <a:t>Recaudación (Euros)</a:t>
            </a:r>
          </a:p>
        </c:rich>
      </c:tx>
      <c:overlay val="0"/>
    </c:title>
    <c:autoTitleDeleted val="0"/>
    <c:plotArea>
      <c:layout/>
      <c:lineChart>
        <c:grouping val="standard"/>
        <c:varyColors val="0"/>
        <c:ser>
          <c:idx val="0"/>
          <c:order val="0"/>
          <c:tx>
            <c:strRef>
              <c:f>'[1]2014'!$E$13</c:f>
              <c:strCache>
                <c:ptCount val="1"/>
                <c:pt idx="0">
                  <c:v>Recaudación</c:v>
                </c:pt>
              </c:strCache>
            </c:strRef>
          </c:tx>
          <c:marker>
            <c:symbol val="none"/>
          </c:marker>
          <c:cat>
            <c:numRef>
              <c:f>'[1]2014'!$F$12:$I$12</c:f>
              <c:numCache>
                <c:formatCode>General</c:formatCode>
                <c:ptCount val="4"/>
                <c:pt idx="0">
                  <c:v>2011</c:v>
                </c:pt>
                <c:pt idx="1">
                  <c:v>2012</c:v>
                </c:pt>
                <c:pt idx="2">
                  <c:v>2013</c:v>
                </c:pt>
                <c:pt idx="3">
                  <c:v>2014</c:v>
                </c:pt>
              </c:numCache>
            </c:numRef>
          </c:cat>
          <c:val>
            <c:numRef>
              <c:f>'[1]2014'!$F$13:$I$13</c:f>
              <c:numCache>
                <c:formatCode>#,##0.00</c:formatCode>
                <c:ptCount val="4"/>
                <c:pt idx="0" formatCode="General">
                  <c:v>4528127</c:v>
                </c:pt>
                <c:pt idx="1">
                  <c:v>4768119.75</c:v>
                </c:pt>
                <c:pt idx="2" formatCode="General">
                  <c:v>5209874.99</c:v>
                </c:pt>
                <c:pt idx="3" formatCode="General">
                  <c:v>5099064</c:v>
                </c:pt>
              </c:numCache>
            </c:numRef>
          </c:val>
          <c:smooth val="0"/>
        </c:ser>
        <c:dLbls>
          <c:showLegendKey val="0"/>
          <c:showVal val="0"/>
          <c:showCatName val="0"/>
          <c:showSerName val="0"/>
          <c:showPercent val="0"/>
          <c:showBubbleSize val="0"/>
        </c:dLbls>
        <c:smooth val="0"/>
        <c:axId val="-1694786576"/>
        <c:axId val="-1694784944"/>
      </c:lineChart>
      <c:catAx>
        <c:axId val="-1694786576"/>
        <c:scaling>
          <c:orientation val="minMax"/>
        </c:scaling>
        <c:delete val="0"/>
        <c:axPos val="b"/>
        <c:numFmt formatCode="General" sourceLinked="1"/>
        <c:majorTickMark val="out"/>
        <c:minorTickMark val="none"/>
        <c:tickLblPos val="nextTo"/>
        <c:txPr>
          <a:bodyPr/>
          <a:lstStyle/>
          <a:p>
            <a:pPr>
              <a:defRPr sz="800"/>
            </a:pPr>
            <a:endParaRPr lang="es-ES"/>
          </a:p>
        </c:txPr>
        <c:crossAx val="-1694784944"/>
        <c:crosses val="autoZero"/>
        <c:auto val="1"/>
        <c:lblAlgn val="ctr"/>
        <c:lblOffset val="100"/>
        <c:noMultiLvlLbl val="0"/>
      </c:catAx>
      <c:valAx>
        <c:axId val="-1694784944"/>
        <c:scaling>
          <c:orientation val="minMax"/>
        </c:scaling>
        <c:delete val="0"/>
        <c:axPos val="l"/>
        <c:majorGridlines>
          <c:spPr>
            <a:ln>
              <a:prstDash val="sysDot"/>
            </a:ln>
          </c:spPr>
        </c:majorGridlines>
        <c:numFmt formatCode="General" sourceLinked="1"/>
        <c:majorTickMark val="out"/>
        <c:minorTickMark val="none"/>
        <c:tickLblPos val="nextTo"/>
        <c:txPr>
          <a:bodyPr/>
          <a:lstStyle/>
          <a:p>
            <a:pPr>
              <a:defRPr sz="700"/>
            </a:pPr>
            <a:endParaRPr lang="es-ES"/>
          </a:p>
        </c:txPr>
        <c:crossAx val="-169478657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Kilómetros/año</a:t>
            </a:r>
          </a:p>
        </c:rich>
      </c:tx>
      <c:overlay val="0"/>
    </c:title>
    <c:autoTitleDeleted val="0"/>
    <c:plotArea>
      <c:layout/>
      <c:lineChart>
        <c:grouping val="standard"/>
        <c:varyColors val="0"/>
        <c:ser>
          <c:idx val="0"/>
          <c:order val="0"/>
          <c:tx>
            <c:strRef>
              <c:f>'[1]2014'!$I$16</c:f>
              <c:strCache>
                <c:ptCount val="1"/>
                <c:pt idx="0">
                  <c:v>Kilómetros</c:v>
                </c:pt>
              </c:strCache>
            </c:strRef>
          </c:tx>
          <c:marker>
            <c:symbol val="none"/>
          </c:marker>
          <c:cat>
            <c:numRef>
              <c:f>'[1]2014'!$J$15:$M$15</c:f>
              <c:numCache>
                <c:formatCode>General</c:formatCode>
                <c:ptCount val="4"/>
                <c:pt idx="0">
                  <c:v>2011</c:v>
                </c:pt>
                <c:pt idx="1">
                  <c:v>2012</c:v>
                </c:pt>
                <c:pt idx="2">
                  <c:v>2013</c:v>
                </c:pt>
                <c:pt idx="3">
                  <c:v>2014</c:v>
                </c:pt>
              </c:numCache>
            </c:numRef>
          </c:cat>
          <c:val>
            <c:numRef>
              <c:f>'[1]2014'!$J$16:$M$16</c:f>
              <c:numCache>
                <c:formatCode>General</c:formatCode>
                <c:ptCount val="4"/>
                <c:pt idx="0">
                  <c:v>2668529</c:v>
                </c:pt>
                <c:pt idx="1">
                  <c:v>2770456</c:v>
                </c:pt>
                <c:pt idx="2">
                  <c:v>2839926</c:v>
                </c:pt>
                <c:pt idx="3">
                  <c:v>2845655</c:v>
                </c:pt>
              </c:numCache>
            </c:numRef>
          </c:val>
          <c:smooth val="0"/>
        </c:ser>
        <c:dLbls>
          <c:showLegendKey val="0"/>
          <c:showVal val="0"/>
          <c:showCatName val="0"/>
          <c:showSerName val="0"/>
          <c:showPercent val="0"/>
          <c:showBubbleSize val="0"/>
        </c:dLbls>
        <c:smooth val="0"/>
        <c:axId val="-1502883392"/>
        <c:axId val="-1502893184"/>
      </c:lineChart>
      <c:catAx>
        <c:axId val="-1502883392"/>
        <c:scaling>
          <c:orientation val="minMax"/>
        </c:scaling>
        <c:delete val="0"/>
        <c:axPos val="b"/>
        <c:numFmt formatCode="General" sourceLinked="1"/>
        <c:majorTickMark val="out"/>
        <c:minorTickMark val="none"/>
        <c:tickLblPos val="nextTo"/>
        <c:txPr>
          <a:bodyPr/>
          <a:lstStyle/>
          <a:p>
            <a:pPr>
              <a:defRPr sz="800"/>
            </a:pPr>
            <a:endParaRPr lang="es-ES"/>
          </a:p>
        </c:txPr>
        <c:crossAx val="-1502893184"/>
        <c:crosses val="autoZero"/>
        <c:auto val="1"/>
        <c:lblAlgn val="ctr"/>
        <c:lblOffset val="100"/>
        <c:noMultiLvlLbl val="0"/>
      </c:catAx>
      <c:valAx>
        <c:axId val="-1502893184"/>
        <c:scaling>
          <c:orientation val="minMax"/>
        </c:scaling>
        <c:delete val="0"/>
        <c:axPos val="l"/>
        <c:majorGridlines>
          <c:spPr>
            <a:ln>
              <a:prstDash val="sysDot"/>
            </a:ln>
          </c:spPr>
        </c:majorGridlines>
        <c:numFmt formatCode="General" sourceLinked="1"/>
        <c:majorTickMark val="out"/>
        <c:minorTickMark val="none"/>
        <c:tickLblPos val="nextTo"/>
        <c:txPr>
          <a:bodyPr/>
          <a:lstStyle/>
          <a:p>
            <a:pPr>
              <a:defRPr sz="700"/>
            </a:pPr>
            <a:endParaRPr lang="es-ES"/>
          </a:p>
        </c:txPr>
        <c:crossAx val="-1502883392"/>
        <c:crosses val="autoZero"/>
        <c:crossBetween val="between"/>
      </c:valAx>
    </c:plotArea>
    <c:plotVisOnly val="1"/>
    <c:dispBlanksAs val="gap"/>
    <c:showDLblsOverMax val="0"/>
  </c:chart>
  <c:spPr>
    <a:ln>
      <a:noFill/>
    </a:ln>
  </c:spPr>
  <c:txPr>
    <a:bodyPr/>
    <a:lstStyle/>
    <a:p>
      <a:pPr>
        <a:defRPr sz="900"/>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dc:creator>
  <cp:lastModifiedBy>Juanjo Ruiz</cp:lastModifiedBy>
  <cp:revision>2</cp:revision>
  <dcterms:created xsi:type="dcterms:W3CDTF">2015-11-23T11:11:00Z</dcterms:created>
  <dcterms:modified xsi:type="dcterms:W3CDTF">2015-11-23T11:11:00Z</dcterms:modified>
</cp:coreProperties>
</file>